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993F" w14:textId="2CE51E86" w:rsidR="009C2B22" w:rsidRDefault="00D17C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C4A2" wp14:editId="64C2EDED">
                <wp:simplePos x="0" y="0"/>
                <wp:positionH relativeFrom="column">
                  <wp:posOffset>141890</wp:posOffset>
                </wp:positionH>
                <wp:positionV relativeFrom="paragraph">
                  <wp:posOffset>0</wp:posOffset>
                </wp:positionV>
                <wp:extent cx="13637172" cy="6243145"/>
                <wp:effectExtent l="0" t="0" r="22225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7172" cy="624314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47469" w14:textId="5454F2E3" w:rsidR="00D17C65" w:rsidRPr="00BA2699" w:rsidRDefault="00BA2699" w:rsidP="00BA2699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>2.</w:t>
                            </w:r>
                            <w:r w:rsidR="00D17C65" w:rsidRPr="00BA2699">
                              <w:rPr>
                                <w:b/>
                                <w:bCs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Internal planning with professionals </w:t>
                            </w:r>
                          </w:p>
                          <w:p w14:paraId="2492AEAC" w14:textId="14ED692A" w:rsidR="00D17C65" w:rsidRPr="00BE71F7" w:rsidRDefault="003A4F56" w:rsidP="00D17C6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BE71F7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Who makes the referral? </w:t>
                            </w:r>
                          </w:p>
                          <w:p w14:paraId="72E82F45" w14:textId="02F3BBEE" w:rsidR="00141DDF" w:rsidRPr="00141DDF" w:rsidRDefault="00141DDF" w:rsidP="00D17C65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 xml:space="preserve">ocial </w:t>
                            </w: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orker</w:t>
                            </w: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makes 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referral to </w:t>
                            </w:r>
                            <w:r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FGC Lead</w:t>
                            </w:r>
                          </w:p>
                          <w:p w14:paraId="6FDDF1CB" w14:textId="05BE4017" w:rsidR="00141DDF" w:rsidRPr="00BE71F7" w:rsidRDefault="00141DDF" w:rsidP="003A4F56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BE71F7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and by whom will the risks that need to be addressed be agreed upon and communicated?</w:t>
                            </w:r>
                          </w:p>
                          <w:p w14:paraId="0BC11E38" w14:textId="1B4CAC94" w:rsidR="00141DDF" w:rsidRPr="00141DDF" w:rsidRDefault="00141DDF" w:rsidP="00BE71F7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Conversation between allocated 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CPA/ </w:t>
                            </w:r>
                            <w:proofErr w:type="gramStart"/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FSCPA 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SW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GC Lead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 and 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systemic practice clinician</w:t>
                            </w:r>
                            <w:r w:rsidRPr="00141DD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 to agree the questions to inform a safety plan to address risks identified by professional network</w:t>
                            </w:r>
                            <w:r w:rsidR="00BE71F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17C65" w:rsidRPr="00141DD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Danger statement/s and bottom lines discussed and agreed  </w:t>
                            </w:r>
                          </w:p>
                          <w:p w14:paraId="06449697" w14:textId="77777777" w:rsidR="00133C1F" w:rsidRPr="00133C1F" w:rsidRDefault="00133C1F" w:rsidP="003A4F56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133C1F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will the child be involved?</w:t>
                            </w:r>
                          </w:p>
                          <w:p w14:paraId="05CF2D67" w14:textId="77777777" w:rsidR="00133C1F" w:rsidRDefault="00D17C65" w:rsidP="003A4F56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Consideration given to participation of child/young person, advocacy etc</w:t>
                            </w:r>
                            <w:r w:rsidR="00133C1F"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  <w:r w:rsidRPr="003A4F56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F01C76" w14:textId="7E3CB203" w:rsidR="00133C1F" w:rsidRDefault="00133C1F" w:rsidP="003A4F56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33C1F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Which professionals will be involved in the reviews and how will they be identified?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17C65"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Identify the key professionals who will be working directly with the family to attend the Family Safeguarding Meeting</w:t>
                            </w:r>
                            <w:r w:rsidR="009B689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Start"/>
                            <w:r w:rsidR="009B689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i.e.</w:t>
                            </w:r>
                            <w:proofErr w:type="gramEnd"/>
                            <w:r w:rsidR="009B689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1F6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where the family plan is presented to professionals</w:t>
                            </w:r>
                            <w:r w:rsidR="009B689C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 I</w:t>
                            </w:r>
                            <w:r w:rsidR="00D17C65"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dentify dates for this meeting (</w:t>
                            </w:r>
                            <w:r w:rsidR="00D17C65"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  <w:t>chaired by CPA/FSCPA</w:t>
                            </w:r>
                            <w:r w:rsidR="00D17C65"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75D60ED" w14:textId="0DCF8B78" w:rsidR="00133C1F" w:rsidRPr="00670AC1" w:rsidRDefault="00133C1F" w:rsidP="003A4F56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670AC1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W</w:t>
                            </w:r>
                            <w:r w:rsidR="004C1FBF" w:rsidRPr="00670AC1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hat would trigger referral to an ICPC and </w:t>
                            </w:r>
                            <w:r w:rsidR="00670AC1" w:rsidRPr="00670AC1">
                              <w:rPr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t>how is this decided?</w:t>
                            </w:r>
                          </w:p>
                          <w:p w14:paraId="53CB6022" w14:textId="14531707" w:rsidR="00D17C65" w:rsidRPr="00133C1F" w:rsidRDefault="00D17C65" w:rsidP="003A4F56">
                            <w:pPr>
                              <w:spacing w:line="276" w:lineRule="auto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133C1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Any changes around the assessment of risk, delay or lack of engagement leads to a return to the ICPC pathway</w:t>
                            </w:r>
                            <w:r w:rsidR="004C1FBF"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0C4A2" id="Rectangle: Rounded Corners 2" o:spid="_x0000_s1026" style="position:absolute;margin-left:11.15pt;margin-top:0;width:1073.8pt;height:4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" fillcolor="#70ad47 [3209]" strokecolor="#1f3763 [1604]" strokeweight="1pt">
                <v:stroke joinstyle="miter"/>
                <v:textbox>
                  <w:txbxContent>
                    <w:p w14:paraId="2F247469" w14:textId="5454F2E3" w:rsidR="00D17C65" w:rsidRPr="00BA2699" w:rsidRDefault="00BA2699" w:rsidP="00BA2699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>2.</w:t>
                      </w:r>
                      <w:r w:rsidR="00D17C65" w:rsidRPr="00BA2699">
                        <w:rPr>
                          <w:b/>
                          <w:bCs/>
                          <w:color w:val="0D0D0D" w:themeColor="text1" w:themeTint="F2"/>
                          <w:sz w:val="44"/>
                          <w:szCs w:val="44"/>
                        </w:rPr>
                        <w:t xml:space="preserve"> Internal planning with professionals </w:t>
                      </w:r>
                    </w:p>
                    <w:p w14:paraId="2492AEAC" w14:textId="14ED692A" w:rsidR="00D17C65" w:rsidRPr="00BE71F7" w:rsidRDefault="003A4F56" w:rsidP="00D17C65">
                      <w:pPr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BE71F7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Who makes the referral? </w:t>
                      </w:r>
                    </w:p>
                    <w:p w14:paraId="72E82F45" w14:textId="02F3BBEE" w:rsidR="00141DDF" w:rsidRPr="00141DDF" w:rsidRDefault="00141DDF" w:rsidP="00D17C65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 xml:space="preserve">ocial </w:t>
                      </w: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W</w:t>
                      </w: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orker</w:t>
                      </w: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makes 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a </w:t>
                      </w: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referral to </w:t>
                      </w:r>
                      <w:r w:rsidRPr="00141DDF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FGC Lead</w:t>
                      </w:r>
                    </w:p>
                    <w:p w14:paraId="6FDDF1CB" w14:textId="05BE4017" w:rsidR="00141DDF" w:rsidRPr="00BE71F7" w:rsidRDefault="00141DDF" w:rsidP="003A4F56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BE71F7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and by whom will the risks that need to be addressed be agreed upon and communicated?</w:t>
                      </w:r>
                    </w:p>
                    <w:p w14:paraId="0BC11E38" w14:textId="1B4CAC94" w:rsidR="00141DDF" w:rsidRPr="00141DDF" w:rsidRDefault="00141DDF" w:rsidP="00BE71F7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141DDF">
                        <w:rPr>
                          <w:color w:val="000000" w:themeColor="text1"/>
                          <w:sz w:val="32"/>
                          <w:szCs w:val="32"/>
                        </w:rPr>
                        <w:t>Conversation between allocated 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CPA/ </w:t>
                      </w:r>
                      <w:proofErr w:type="gramStart"/>
                      <w:r w:rsidRPr="00141DDF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FSCPA 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141DDF">
                        <w:rPr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SW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F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GC Lead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</w:rPr>
                        <w:t> and 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systemic practice clinician</w:t>
                      </w:r>
                      <w:r w:rsidRPr="00141DDF">
                        <w:rPr>
                          <w:color w:val="000000" w:themeColor="text1"/>
                          <w:sz w:val="32"/>
                          <w:szCs w:val="32"/>
                        </w:rPr>
                        <w:t> to agree the questions to inform a safety plan to address risks identified by professional network</w:t>
                      </w:r>
                      <w:r w:rsidR="00BE71F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="00D17C65" w:rsidRPr="00141DD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Danger statement/s and bottom lines discussed and agreed  </w:t>
                      </w:r>
                    </w:p>
                    <w:p w14:paraId="06449697" w14:textId="77777777" w:rsidR="00133C1F" w:rsidRPr="00133C1F" w:rsidRDefault="00133C1F" w:rsidP="003A4F56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133C1F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will the child be involved?</w:t>
                      </w:r>
                    </w:p>
                    <w:p w14:paraId="05CF2D67" w14:textId="77777777" w:rsidR="00133C1F" w:rsidRDefault="00D17C65" w:rsidP="003A4F56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133C1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Consideration given to participation of child/young person, advocacy etc</w:t>
                      </w:r>
                      <w:r w:rsidR="00133C1F" w:rsidRPr="00133C1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  <w:r w:rsidRPr="003A4F56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F01C76" w14:textId="7E3CB203" w:rsidR="00133C1F" w:rsidRDefault="00133C1F" w:rsidP="003A4F56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133C1F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Which professionals will be involved in the reviews and how will they be identified?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 </w:t>
                      </w:r>
                      <w:r w:rsidR="00D17C65" w:rsidRPr="00133C1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Identify the key professionals who will be working directly with the family to attend the Family Safeguarding Meeting</w:t>
                      </w:r>
                      <w:r w:rsidR="009B689C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(</w:t>
                      </w:r>
                      <w:proofErr w:type="gramStart"/>
                      <w:r w:rsidR="009B689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i.e.</w:t>
                      </w:r>
                      <w:proofErr w:type="gramEnd"/>
                      <w:r w:rsidR="009B689C">
                        <w:rPr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="00F11F6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where the family plan is presented to professionals</w:t>
                      </w:r>
                      <w:r w:rsidR="009B689C">
                        <w:rPr>
                          <w:color w:val="0D0D0D" w:themeColor="text1" w:themeTint="F2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. I</w:t>
                      </w:r>
                      <w:r w:rsidR="00D17C65" w:rsidRPr="00133C1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dentify dates for this meeting (</w:t>
                      </w:r>
                      <w:r w:rsidR="00D17C65" w:rsidRPr="00133C1F">
                        <w:rPr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  <w:t>chaired by CPA/FSCPA</w:t>
                      </w:r>
                      <w:r w:rsidR="00D17C65" w:rsidRPr="00133C1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</w:p>
                    <w:p w14:paraId="375D60ED" w14:textId="0DCF8B78" w:rsidR="00133C1F" w:rsidRPr="00670AC1" w:rsidRDefault="00133C1F" w:rsidP="003A4F56">
                      <w:pPr>
                        <w:spacing w:line="276" w:lineRule="auto"/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670AC1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W</w:t>
                      </w:r>
                      <w:r w:rsidR="004C1FBF" w:rsidRPr="00670AC1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 xml:space="preserve">hat would trigger referral to an ICPC and </w:t>
                      </w:r>
                      <w:r w:rsidR="00670AC1" w:rsidRPr="00670AC1">
                        <w:rPr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t>how is this decided?</w:t>
                      </w:r>
                    </w:p>
                    <w:p w14:paraId="53CB6022" w14:textId="14531707" w:rsidR="00D17C65" w:rsidRPr="00133C1F" w:rsidRDefault="00D17C65" w:rsidP="003A4F56">
                      <w:pPr>
                        <w:spacing w:line="276" w:lineRule="auto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133C1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Any changes around the assessment of risk, delay or lack of engagement leads to a return to the ICPC pathway</w:t>
                      </w:r>
                      <w:r w:rsidR="004C1FBF">
                        <w:rPr>
                          <w:color w:val="0D0D0D" w:themeColor="text1" w:themeTint="F2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C2B22" w:rsidSect="00D17C6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76E"/>
    <w:multiLevelType w:val="hybridMultilevel"/>
    <w:tmpl w:val="8EF0F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47D7"/>
    <w:multiLevelType w:val="hybridMultilevel"/>
    <w:tmpl w:val="733C5432"/>
    <w:lvl w:ilvl="0" w:tplc="276E0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4995"/>
    <w:multiLevelType w:val="hybridMultilevel"/>
    <w:tmpl w:val="5914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5E95"/>
    <w:multiLevelType w:val="hybridMultilevel"/>
    <w:tmpl w:val="A3D4A1B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01275">
    <w:abstractNumId w:val="0"/>
  </w:num>
  <w:num w:numId="2" w16cid:durableId="650985489">
    <w:abstractNumId w:val="1"/>
  </w:num>
  <w:num w:numId="3" w16cid:durableId="1655913727">
    <w:abstractNumId w:val="3"/>
  </w:num>
  <w:num w:numId="4" w16cid:durableId="2132167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65"/>
    <w:rsid w:val="00133C1F"/>
    <w:rsid w:val="00141DDF"/>
    <w:rsid w:val="003A4F56"/>
    <w:rsid w:val="004314CC"/>
    <w:rsid w:val="004C1FBF"/>
    <w:rsid w:val="00670AC1"/>
    <w:rsid w:val="006B52A6"/>
    <w:rsid w:val="00921080"/>
    <w:rsid w:val="009B689C"/>
    <w:rsid w:val="009C2B22"/>
    <w:rsid w:val="00BA2699"/>
    <w:rsid w:val="00BE71F7"/>
    <w:rsid w:val="00D17C65"/>
    <w:rsid w:val="00E801D1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6171"/>
  <w15:chartTrackingRefBased/>
  <w15:docId w15:val="{AFEF3DBC-9C2D-43EF-8427-903A3B3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6AC7D973D945BA195FB0A5968B96" ma:contentTypeVersion="17" ma:contentTypeDescription="Create a new document." ma:contentTypeScope="" ma:versionID="81c4f68e428d6f203155356ea22c053b">
  <xsd:schema xmlns:xsd="http://www.w3.org/2001/XMLSchema" xmlns:xs="http://www.w3.org/2001/XMLSchema" xmlns:p="http://schemas.microsoft.com/office/2006/metadata/properties" xmlns:ns2="a8b883d7-2664-4f60-98d3-e2606d07391c" xmlns:ns3="a90de541-0770-49ab-9876-b1820f2223e9" targetNamespace="http://schemas.microsoft.com/office/2006/metadata/properties" ma:root="true" ma:fieldsID="df4a216d5673c7edaaf52cc77705e8e2" ns2:_="" ns3:_="">
    <xsd:import namespace="a8b883d7-2664-4f60-98d3-e2606d07391c"/>
    <xsd:import namespace="a90de541-0770-49ab-9876-b1820f222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opic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883d7-2664-4f60-98d3-e2606d073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0" nillable="true" ma:displayName="Folder" ma:format="Dropdown" ma:internalName="Topic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e541-0770-49ab-9876-b1820f22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cce40c-d26e-4ebe-b2a4-cf7866b0aa42}" ma:internalName="TaxCatchAll" ma:showField="CatchAllData" ma:web="a90de541-0770-49ab-9876-b1820f222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b883d7-2664-4f60-98d3-e2606d07391c">
      <Terms xmlns="http://schemas.microsoft.com/office/infopath/2007/PartnerControls"/>
    </lcf76f155ced4ddcb4097134ff3c332f>
    <TaxCatchAll xmlns="a90de541-0770-49ab-9876-b1820f2223e9" xsi:nil="true"/>
    <Topic xmlns="a8b883d7-2664-4f60-98d3-e2606d07391c" xsi:nil="true"/>
  </documentManagement>
</p:properties>
</file>

<file path=customXml/itemProps1.xml><?xml version="1.0" encoding="utf-8"?>
<ds:datastoreItem xmlns:ds="http://schemas.openxmlformats.org/officeDocument/2006/customXml" ds:itemID="{CD0F4014-6AD8-43D3-A98F-C26DC7CA0D9D}"/>
</file>

<file path=customXml/itemProps2.xml><?xml version="1.0" encoding="utf-8"?>
<ds:datastoreItem xmlns:ds="http://schemas.openxmlformats.org/officeDocument/2006/customXml" ds:itemID="{0B1BEBF4-7E61-4C18-B490-0C89145F0EB8}"/>
</file>

<file path=customXml/itemProps3.xml><?xml version="1.0" encoding="utf-8"?>
<ds:datastoreItem xmlns:ds="http://schemas.openxmlformats.org/officeDocument/2006/customXml" ds:itemID="{F106E504-A3F9-4A34-84A9-67402FE881FF}"/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Stabler</dc:creator>
  <cp:keywords/>
  <dc:description/>
  <cp:lastModifiedBy>Lorna Stabler</cp:lastModifiedBy>
  <cp:revision>10</cp:revision>
  <dcterms:created xsi:type="dcterms:W3CDTF">2023-01-17T12:16:00Z</dcterms:created>
  <dcterms:modified xsi:type="dcterms:W3CDTF">2023-01-17T15:55:00Z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0x010100FB566AC7D973D945BA195FB0A5968B96</vt:lpwstr>
  </property>
</Properties>
</file>